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LCA – wyraźniej widoczny w obszarach rozwojowych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Prof. Andrzej Marcinkowski z Wydziału Organizacji i Zarządzania Politechniki Łódzkiej (na zdjęciu drugi od prawej) w swojej pracy badawczej zajmuje się między innymi: oceną cyklu życia (LCA), inżynierią produkcji, symbiozą przemysłową oraz efektywnością energetyczną. Jako ekspert aktywnie współpracujący z zespołem projektu LCA4Regions zgodził się na wywiad i krótkie podsumowanie osiągnięć i wyzwań projektu.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08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Jak Pan ocenia z perspektywy czasu współpracę w ramach projektu i współorganizowane wydarzenie pn. Transnational Learning Journey, które współtworzył Pan razem z zespołem LCARegions – czy widzi Pan potrzebę kontynuacji projektu?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Inicjatywę oceniam zdecydowanie pozytywnie. Szczególnie pozytywne wrażenie zrobiło na mnie zaangażowanie przedstawicieli poszczególnych regionów w działania podejmowane w ramach projektu. To bardzo budujące, że regiony wykazują zainteresowanie aktualną problematyką (zwłaszcza tak specyficzną jak metodyki cyklu życia) i starają się podążać za bieżącymi trendami, by być przygotowanymi do przyszłych standardów prawnych i wsparcia dobrych praktyk.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Czy metodologie typu Life Cycle Assessment (LCA), Carbon Footprint (CF) mają wpływ na uczelnię, jej otocznie i proces B+R, a także aktywność proinnowacyjną?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Metodyki te mają oczywiście duży wpływ na działalność uczelni w różnych obszarach. LCA i CF są coraz częściej stosowane w sferze badań naukowych wielu dyscyplin, zwłaszcza związanych z praktyką przemysłową. Wyniki oceny cyklu życia stanowią często samoistny wartościowy materiał badawczy, ponadto są często niezbędnym uzupełnieniem badań prowadzonych w innych obszarach.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Jakie są praktyczne wyzwania tych metodologii?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Prócz prac badawczych LCA jest również wykorzystywana w obszarze rozwoju uczelni. Przykładem może być wyznaczenie wpływu na środowisko kampusów Politechniki Łódzkiej w kontekście zużycia energii na ogrzewanie uczelnianych budynków. Wymaga to kompleksowej inwentaryzacji budynków i użycia uzyskanych danych w analizach LCA.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Jak okres post-pandemiczny będzie kształtował wpływ na środowisko – czy odbudowa gospodarki będzie miała wpływ na wzmocnienie dynamiki pro-środowiskowych procesów i transformacji w naszych regionach?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Problemy gospodarcze wywołane reakcją na pandemię (zamrożenie wybranych branż) mogły się przyczynić do tymczasowej redukcji wpływu na środowisko. Przymusowe wdrożenie pracy zdalnej w wielu sektorach zaowocowało tym, że do tej pory wielu pracowników chętnie korzysta z takiego trybu pracy. Wiąże się to z niewątpliwymi korzyściami dla środowiska w postaci oszczędności paliwa i redukcji emisji związanych z transportem do miejsc pracy.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Capacity Building - to temat, który współtworzyliśmy razem z ekspertami podczas Transnational Learning Journey - czy ma on odniesienie do oceny cyklu życia produktów i usług?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Mam wrażenie, że również w obszarze dydaktycznym LCA pełni coraz istotniejszą rolę. W mojej ocenie studenci są coraz bardziej świadomi możliwości, jakie stwarza zastosowanie oceny cyklu życia. Na Wydziale Organizacji i Zarządzania PŁ wyraża się to m.in. coraz większym zainteresowaniem dyplomantów pisaniem prac inżynierskich i magisterskich z wykorzystaniem oprogramowania dedykowanego LCA. Prace dotyczą optymalizacji procesów produkcyjnych, logistycznych, prowadzone są we współpracy z przedsiębiorstwami regionu.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Jak będzie wyglądać rozwój oceny cyklu życia?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Rozwój metodyki LCA wymaga dalszych badań. Szczególnej uwagi wymaga uwzględnienie wpływu hałasu na środowisko. Ocena cyklu życia jest też coraz częściej istotnym elementem projektów edukacyjnych, badawczych i rozwojowych. Sam uczestniczę w kilku projektach, w których analizy LCA stanowią jeden z filarów, na których opierają się zasadnicze założenia projektu. Są to zarówno projekty realizowane w ramach programu Horyzont (np. SustDesignTex), Erasmus+ (skills4future, educate4green), czy też Gospostrateg.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Serdecznie dziękujemy za wywiad i wsparcie eksperckie w trakcie realizacji projektu LCA4Regions. Wszystkich zainteresowanych szerszym ujęciem tej niezwykle interesującej problematyki zachęcamy do poszerzenia wiedzy m.in. poprzez zapoznanie się z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b/>
            <w:u w:val="single"/>
          </w:rPr>
          <w:t xml:space="preserve">retransmisją seminarium TLJ</w:t>
        </w:r>
      </w:hyperlink>
      <w:r>
        <w:rPr>
          <w:rFonts w:ascii="calibri" w:hAnsi="calibri" w:eastAsia="calibri" w:cs="calibri"/>
          <w:sz w:val="24"/>
          <w:szCs w:val="24"/>
          <w:b/>
        </w:rPr>
        <w:t xml:space="preserve"> oraz </w:t>
      </w: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b/>
            <w:u w:val="single"/>
          </w:rPr>
          <w:t xml:space="preserve">odwiedzenie strony projektu</w:t>
        </w:r>
      </w:hyperlink>
      <w:r>
        <w:rPr>
          <w:rFonts w:ascii="calibri" w:hAnsi="calibri" w:eastAsia="calibri" w:cs="calibri"/>
          <w:sz w:val="24"/>
          <w:szCs w:val="24"/>
          <w:b/>
        </w:rPr>
        <w:t xml:space="preserve">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159px; margin-left:0px; margin-top:0px; mso-position-horizontal:left; mso-position-vertical:top; mso-position-horizontal-relative:char; mso-position-vertical-relative:line;">
            <w10:wrap type="inline"/>
            <v:imagedata r:id="rId10" o:title=""/>
          </v:shape>
        </w:pic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projects2014-2020.interregeurope.eu/lca4regions/events/event/4683/training-and-capacity-building-in-lca/" TargetMode="External"/><Relationship Id="rId9" Type="http://schemas.openxmlformats.org/officeDocument/2006/relationships/hyperlink" Target="https://projects2014-2020.interregeurope.eu/lca4regions/" TargetMode="External"/><Relationship Id="rId10" Type="http://schemas.openxmlformats.org/officeDocument/2006/relationships/image" Target="media/section_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2026-05-25T19:26:26+02:00</dcterms:created>
  <dcterms:modified xsi:type="dcterms:W3CDTF">2026-05-25T19:26:26+02:00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