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LCA4Regions korzysta z doświadczeń Nawarry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Ocena cyklu życia (LCA) na rzecz gospodarki zrównoważonego rozwoju była głównym tematem drugiego międzynarodowego spotkania partnerów projektu LCA4Regions. Wydarzenie odbyło się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w konwencji 3 dniowego spotkania online w dniach 16 - 18 czerwca br. i było transmitowane na żywo na Twitterze. Okazało się ono inspirującą platformą wymiany doświadczeń związanych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z koncepcją zastosowania modelu LCA w efektywnym wykorzystaniu zasobów, poprzez zaprezentowanie siedmiu dobrych praktyk w poszczególnych regionach. Nie zabrakło także wirtualnych wizyt studyjnych w przedsiębiorstwach hiszpańskiego regionu Nawarry oraz końcowej bardzo ożywionej i owocnej dyskusji.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ostatnich miesiącach partnerzy LCA4Regions pogłębili i ukończyli siedem analiz regionalnych, zebrali dobre praktyki w swych regionach, rozwijając tym samym międzyregionalny potencjał dot. doświadczeń i możliwości wykorzystania LCA w regionach.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„Potencjalnie wysoka cena analiz LCA jest kwestią punktu widzenia. Pokonując drogę od bariery do szansy można koszt ten traktować bardziej jako długoterminową inwestycję, z której korzyści można czerpać w przyszłości”</w:t>
      </w:r>
      <w:r>
        <w:rPr>
          <w:rFonts w:ascii="calibri" w:hAnsi="calibri" w:eastAsia="calibri" w:cs="calibri"/>
          <w:sz w:val="24"/>
          <w:szCs w:val="24"/>
        </w:rPr>
        <w:t xml:space="preserve"> - stwierdził Fritz Balkau, ekspert w zakresie metodologii LCA. Jest to jedna </w:t>
      </w:r>
    </w:p>
    <w:p>
      <w:r>
        <w:rPr>
          <w:rFonts w:ascii="calibri" w:hAnsi="calibri" w:eastAsia="calibri" w:cs="calibri"/>
          <w:sz w:val="24"/>
          <w:szCs w:val="24"/>
        </w:rPr>
        <w:t xml:space="preserve"> z kluczowych tez tego wydarzenia.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Spotkanie koncentrowało się na przedstawieniu metod oceny cyklu życia w kontekście efektywnego gospodarowania zasobami, stanowiących jeden z sześciu zasadniczych filarów merytorycznych LCA4Regions. W trakcie spotkania partnerzy mieli okazję zapoznać się z lokalnymi uwarunkowaniami gospodarczymi regionu Nawarry (lidera i inicjatora projektu) i zobaczyć jakie szanse, a także wyzwania związane są z metodologią oceny cyklu życia w kontekście analizy porównawczej, na potrzeby projektu LCA4Regions.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Partnerzy przedstawili dobre praktyki LCA dotyczące efektywnego gospodarowania zasobami z siedmiu regionów partnerskich.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Uczestnicy mieli okazję zapoznać się z LCA i narzędziami związanymi z tą metodą w różnych kontekstach m.in.: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Technologii wytwarzania oraz zastosowania podkładów na bazie wody i rozpuszczalników do gruntowania stalowych płyt (Litwa).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Ponownego wykorzystania pozostałości po pracach ziemnych w procesie renaturyzacji i rekultywacji parku przyrodniczego Ankkapuisto (Finlandia).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Efektywnego gospodarowania zasobami w turystyce na przykładzie wzorcowej eko-modernizacji hotelu Bohnij (Słowenia).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LCA dla nowoczesnych komponentów budowlanych i gotowych budynków – które w firmie IZODOM Polska 2000 zostały zaprojektowane tak aby pozyskanie surowców, produkcja i eksploatacja, a także demontaż były pod względem oddziaływania na środowisko zredukowane do niezbędnego minimum.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Korzyści dla środowiska i społeczności związanych z racjonalnym wykorzystaniem największego sztucznego zbiornika wodnego w UE - Alqueva w Portugalii, nie tylko dla celów pozyskiwania energii </w:t>
      </w:r>
    </w:p>
    <w:p>
      <w:r>
        <w:rPr>
          <w:rFonts w:ascii="calibri" w:hAnsi="calibri" w:eastAsia="calibri" w:cs="calibri"/>
          <w:sz w:val="24"/>
          <w:szCs w:val="24"/>
        </w:rPr>
        <w:t xml:space="preserve"> z wody, ale i nawadniania okolicznych terenów oraz odbudowy lokalnych ekosystemów i wzmacniania ekonomii regionu.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Protokołu LEED wprowadzonego przez włoską Lombardię. System ten służy władzom regionu </w:t>
      </w:r>
    </w:p>
    <w:p>
      <w:r>
        <w:rPr>
          <w:rFonts w:ascii="calibri" w:hAnsi="calibri" w:eastAsia="calibri" w:cs="calibri"/>
          <w:sz w:val="24"/>
          <w:szCs w:val="24"/>
        </w:rPr>
        <w:t xml:space="preserve"> w zakresie kompleksowej gospodarki nieruchomościami oraz do zarządzania inwestycjami budowlanymi. Pozwala on na usystematyzowanie wiedzy i przyjęcie całościowego spektrum oceny, </w:t>
      </w:r>
    </w:p>
    <w:p>
      <w:r>
        <w:rPr>
          <w:rFonts w:ascii="calibri" w:hAnsi="calibri" w:eastAsia="calibri" w:cs="calibri"/>
          <w:sz w:val="24"/>
          <w:szCs w:val="24"/>
        </w:rPr>
        <w:t xml:space="preserve"> w stosunku do zagadnień związanych z użytkowaniem, projektowaniem i demontażem obiektów budowlanych. Przede wszystkim pod kątem efektywnego gospodarowania zasobami.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Metodologii i działania dot. obliczania śladu węglowego w gospodarce komunalnej - Carbon Footprint Strategy, przez samorząd Pampeluny w Regionie Nawarra.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ostatnim dniu wydarzenia partnerzy i interesariusze wzięli udział w wirtualnych wizytach studyjnych w Nawarrze – podczas których dwie lokalne firmy wyjaśniły, w jaki sposób pracują nad efektywnym wykorzystaniem zasobów, które mają do dyspozycji w toku swej działalności: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AGRALCO przekształca, wzbogaca produkty uboczne i odpadowe powstające przy produkcji wina,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BIOSASUN wykorzystuje oliwki do wytwarzania produktów wysokiej jakości,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Spotkanie zakończyło się dyskusją dotyczącą kompleksowego projektu Nawarry, który obejmuje m. in wdrożenie autorskiego planu rozwoju gospodarki o obiegu zamkniętym, planu zagospodarowania odpadów, regionalnego prawa dotyczącego odpadów w kontekście obciążeń podatkowych, „zielonego” prawa zamówień publicznych i mapy drogowej dotyczącej zmian klimatu.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Kolejne międzynarodowe spotkanie partnerów zostanie zorganizowane przez Instytut w Pyhajarvi (Finlandia) w październiku 2020 r.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6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2026-09-07T14:10:24+02:00</dcterms:created>
  <dcterms:modified xsi:type="dcterms:W3CDTF">2026-09-07T14:10:24+02:00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